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3D16D" w14:textId="77777777" w:rsidR="00320E8F" w:rsidRDefault="001767CC">
      <w:pPr>
        <w:snapToGrid w:val="0"/>
        <w:spacing w:before="9" w:line="560" w:lineRule="exact"/>
        <w:ind w:left="120"/>
        <w:textAlignment w:val="baseline"/>
        <w:rPr>
          <w:rFonts w:ascii="Times New Roman" w:eastAsia="方正黑体_GBK" w:hAnsi="Times New Roman" w:cs="Times New Roman"/>
          <w:sz w:val="32"/>
          <w:szCs w:val="32"/>
          <w:lang w:eastAsia="zh-CN"/>
        </w:rPr>
      </w:pP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附件</w:t>
      </w: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2-</w:t>
      </w:r>
      <w:r>
        <w:rPr>
          <w:rFonts w:ascii="Times New Roman" w:eastAsia="方正黑体_GBK" w:hAnsi="Times New Roman" w:cs="Times New Roman" w:hint="eastAsia"/>
          <w:sz w:val="32"/>
          <w:szCs w:val="32"/>
          <w:lang w:eastAsia="zh-CN"/>
        </w:rPr>
        <w:t>5</w:t>
      </w:r>
    </w:p>
    <w:p w14:paraId="63B87EFC" w14:textId="77777777" w:rsidR="00320E8F" w:rsidRDefault="00320E8F">
      <w:pPr>
        <w:snapToGrid w:val="0"/>
        <w:spacing w:before="2" w:line="560" w:lineRule="exact"/>
        <w:textAlignment w:val="baseline"/>
        <w:rPr>
          <w:rFonts w:ascii="Times New Roman" w:eastAsia="宋体" w:hAnsi="Times New Roman" w:cs="Times New Roman"/>
          <w:sz w:val="27"/>
          <w:szCs w:val="27"/>
          <w:lang w:eastAsia="zh-CN"/>
        </w:rPr>
      </w:pPr>
    </w:p>
    <w:p w14:paraId="6DCD29DD" w14:textId="77777777" w:rsidR="00320E8F" w:rsidRDefault="001767CC">
      <w:pPr>
        <w:snapToGrid w:val="0"/>
        <w:spacing w:line="560" w:lineRule="exact"/>
        <w:jc w:val="center"/>
        <w:textAlignment w:val="baseline"/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  <w:t>江苏省政府专项债券项目绩效自评价报告</w:t>
      </w:r>
    </w:p>
    <w:p w14:paraId="6458B450" w14:textId="77777777" w:rsidR="00320E8F" w:rsidRDefault="001767CC">
      <w:pPr>
        <w:snapToGrid w:val="0"/>
        <w:spacing w:line="560" w:lineRule="exact"/>
        <w:jc w:val="center"/>
        <w:textAlignment w:val="baseline"/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  <w:t>城东污水系统管网排查-专项整治第二批工程</w:t>
      </w:r>
    </w:p>
    <w:p w14:paraId="66EADFF3" w14:textId="77777777" w:rsidR="00320E8F" w:rsidRDefault="001767CC">
      <w:pPr>
        <w:snapToGrid w:val="0"/>
        <w:spacing w:line="560" w:lineRule="exact"/>
        <w:jc w:val="center"/>
        <w:textAlignment w:val="baseline"/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  <w:t>（运粮河东路等8条道路）</w:t>
      </w:r>
    </w:p>
    <w:p w14:paraId="60E269BF" w14:textId="77777777" w:rsidR="00320E8F" w:rsidRDefault="00320E8F">
      <w:pPr>
        <w:snapToGrid w:val="0"/>
        <w:spacing w:line="560" w:lineRule="exact"/>
        <w:jc w:val="center"/>
        <w:textAlignment w:val="baseline"/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</w:pPr>
    </w:p>
    <w:p w14:paraId="41FCD2B2" w14:textId="77777777" w:rsidR="00320E8F" w:rsidRDefault="001767CC">
      <w:pPr>
        <w:numPr>
          <w:ilvl w:val="0"/>
          <w:numId w:val="1"/>
        </w:num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项目情况</w:t>
      </w:r>
    </w:p>
    <w:p w14:paraId="10DAB1F9" w14:textId="1EA1997F" w:rsidR="00E916BE" w:rsidRPr="00E916BE" w:rsidRDefault="00E916BE" w:rsidP="00E916BE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 w:rsidRPr="00E916BE"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（一）项目基本情况</w:t>
      </w:r>
    </w:p>
    <w:p w14:paraId="5BCE0667" w14:textId="7A9FBDEC" w:rsidR="00320E8F" w:rsidRDefault="00E916BE">
      <w:pPr>
        <w:pStyle w:val="a3"/>
        <w:spacing w:before="0" w:line="560" w:lineRule="exact"/>
        <w:ind w:left="0" w:firstLineChars="200" w:firstLine="600"/>
        <w:rPr>
          <w:rFonts w:ascii="Times New Roman" w:eastAsia="方正仿宋_GBK" w:hAnsi="Times New Roman" w:cs="Times New Roman"/>
          <w:lang w:eastAsia="zh-CN"/>
        </w:rPr>
      </w:pPr>
      <w:r>
        <w:rPr>
          <w:rFonts w:ascii="Times New Roman" w:eastAsia="方正仿宋_GBK" w:hAnsi="Times New Roman" w:cs="Times New Roman" w:hint="eastAsia"/>
          <w:lang w:eastAsia="zh-CN"/>
        </w:rPr>
        <w:t>（</w:t>
      </w:r>
      <w:r w:rsidR="001767CC">
        <w:rPr>
          <w:rFonts w:ascii="Times New Roman" w:eastAsia="方正仿宋_GBK" w:hAnsi="Times New Roman" w:cs="Times New Roman" w:hint="eastAsia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lang w:eastAsia="zh-CN"/>
        </w:rPr>
        <w:t>）</w:t>
      </w:r>
      <w:r w:rsidR="001767CC">
        <w:rPr>
          <w:rFonts w:ascii="Times New Roman" w:eastAsia="方正仿宋_GBK" w:hAnsi="Times New Roman" w:cs="Times New Roman" w:hint="eastAsia"/>
          <w:lang w:eastAsia="zh-CN"/>
        </w:rPr>
        <w:t>项目背景</w:t>
      </w:r>
    </w:p>
    <w:p w14:paraId="57A0010B" w14:textId="43DBB9BC" w:rsidR="00320E8F" w:rsidRDefault="001767CC">
      <w:pPr>
        <w:snapToGrid w:val="0"/>
        <w:spacing w:line="560" w:lineRule="exact"/>
        <w:ind w:firstLineChars="200" w:firstLine="600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根据《南京市城镇污水处理提质增效精准攻坚</w:t>
      </w:r>
      <w:r w:rsidR="00FB144F" w:rsidRPr="00FB144F">
        <w:rPr>
          <w:rFonts w:ascii="Times New Roman" w:eastAsia="方正仿宋_GBK" w:hAnsi="Times New Roman" w:cs="Times New Roman"/>
          <w:sz w:val="30"/>
          <w:szCs w:val="30"/>
          <w:lang w:eastAsia="zh-CN"/>
        </w:rPr>
        <w:t>“333”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行动方案》的要求，城东污水收集处理系统项目计划利用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3</w:t>
      </w:r>
      <w:r w:rsidR="00FB144F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至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年时间对片区污水管网（含新移交）进行整改。本次启动的城东污水系统管网排查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专项整治第二批工程（运粮河东路等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条道路）</w:t>
      </w:r>
      <w:bookmarkStart w:id="0" w:name="_Hlk161952852"/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，主要整改城东污水系统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L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片区存在问题的污水管道。工程建设地点位于</w:t>
      </w:r>
      <w:r w:rsidR="00E51DCF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南京市江宁区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，工程建设规模及主要内容：整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治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DN400~d1200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6.0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千米，其中更换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DN400~d800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3.9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千米，通过非开挖修复、障碍物清除等方式整治修复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DN400~</w:t>
      </w:r>
      <w:r w:rsidR="00C507A2">
        <w:rPr>
          <w:rFonts w:ascii="Times New Roman" w:eastAsia="方正仿宋_GBK" w:hAnsi="Times New Roman" w:cs="Times New Roman"/>
          <w:sz w:val="30"/>
          <w:szCs w:val="30"/>
          <w:lang w:eastAsia="zh-CN"/>
        </w:rPr>
        <w:t>D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1200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2.1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千米。</w:t>
      </w:r>
    </w:p>
    <w:p w14:paraId="4EBEC1BF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实施城东污水系统管网排查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专项整治第二批工程（运粮河东路等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条道路），可改善雨污混接，提高污水管网质量，减少外水入渗，对提升污水处理厂进水浓度效果显著，是必要的。</w:t>
      </w:r>
    </w:p>
    <w:bookmarkEnd w:id="0"/>
    <w:p w14:paraId="4A9142ED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在管道高水位且存在结构性缺陷的情况下，存在污水入河风险，对河道水环境造成不良影响，本工程实施可为麒麟生态河水质稳定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达标提供保障。</w:t>
      </w:r>
    </w:p>
    <w:p w14:paraId="074F1D50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color w:val="0000FF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本工程符合《南京市主城污水主次干管专项规划（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2018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—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2035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）》中相关要求。由于管道为现状管线整改，基本为原管径原管位，不涉及征地拆迁，满足文保、水利、生态保护的要求。</w:t>
      </w:r>
    </w:p>
    <w:p w14:paraId="0441DD1B" w14:textId="5E16CA6E" w:rsidR="00320E8F" w:rsidRDefault="00E916BE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1767CC">
        <w:rPr>
          <w:rFonts w:ascii="Times New Roman" w:eastAsia="方正仿宋_GBK" w:hAnsi="Times New Roman" w:cs="Times New Roman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1767CC">
        <w:rPr>
          <w:rFonts w:ascii="Times New Roman" w:eastAsia="方正仿宋_GBK" w:hAnsi="Times New Roman" w:cs="Times New Roman"/>
          <w:sz w:val="30"/>
          <w:szCs w:val="30"/>
          <w:lang w:eastAsia="zh-CN"/>
        </w:rPr>
        <w:t>主要内容：</w:t>
      </w:r>
    </w:p>
    <w:p w14:paraId="52C2E153" w14:textId="144B801E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工程建设地点位于</w:t>
      </w:r>
      <w:r w:rsidR="00E51DCF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南京市江宁区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，工程建设规模及主要内容：整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治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DN400~d1200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6.0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千米，其中更换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DN400~d800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3.9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千米，通过非开挖修复、障碍物清除等方式整治修复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DN400~d1200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2.1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千米。</w:t>
      </w:r>
    </w:p>
    <w:p w14:paraId="742DDE87" w14:textId="1E65D78B" w:rsidR="00320E8F" w:rsidRDefault="00E916BE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1767CC">
        <w:rPr>
          <w:rFonts w:ascii="Times New Roman" w:eastAsia="方正仿宋_GBK" w:hAnsi="Times New Roman" w:cs="Times New Roman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1767CC">
        <w:rPr>
          <w:rFonts w:ascii="Times New Roman" w:eastAsia="方正仿宋_GBK" w:hAnsi="Times New Roman" w:cs="Times New Roman"/>
          <w:sz w:val="30"/>
          <w:szCs w:val="30"/>
          <w:lang w:eastAsia="zh-CN"/>
        </w:rPr>
        <w:t>实施方式：用于</w:t>
      </w:r>
      <w:r w:rsidR="001767CC"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项目建设阶段工程费用投入。</w:t>
      </w:r>
    </w:p>
    <w:p w14:paraId="48184C38" w14:textId="2ABB9ADA" w:rsidR="00320E8F" w:rsidRDefault="00E916BE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color w:val="0000FF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1767CC">
        <w:rPr>
          <w:rFonts w:ascii="Times New Roman" w:eastAsia="方正仿宋_GBK" w:hAnsi="Times New Roman" w:cs="Times New Roman"/>
          <w:sz w:val="30"/>
          <w:szCs w:val="30"/>
          <w:lang w:eastAsia="zh-CN"/>
        </w:rPr>
        <w:t>4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1767CC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资金投入：本项目投资概算约为</w:t>
      </w:r>
      <w:r w:rsidR="001767CC">
        <w:rPr>
          <w:rFonts w:ascii="Times New Roman" w:hAnsi="宋体" w:cs="Times New Roman" w:hint="eastAsia"/>
          <w:sz w:val="28"/>
          <w:szCs w:val="28"/>
          <w:lang w:eastAsia="zh-CN"/>
        </w:rPr>
        <w:t>8606.16</w:t>
      </w:r>
      <w:r w:rsidR="001767C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</w:t>
      </w:r>
      <w:r w:rsidR="001767CC">
        <w:rPr>
          <w:rFonts w:ascii="Times New Roman" w:eastAsia="方正仿宋_GBK" w:hAnsi="Times New Roman" w:cs="Times New Roman"/>
          <w:sz w:val="30"/>
          <w:szCs w:val="30"/>
          <w:lang w:eastAsia="zh-CN"/>
        </w:rPr>
        <w:t>元，其中</w:t>
      </w:r>
      <w:r w:rsidR="001767CC">
        <w:rPr>
          <w:rFonts w:ascii="Times New Roman" w:eastAsia="方正仿宋_GBK" w:hAnsi="Times New Roman" w:cs="Times New Roman"/>
          <w:sz w:val="30"/>
          <w:szCs w:val="30"/>
          <w:lang w:eastAsia="zh-CN"/>
        </w:rPr>
        <w:t>202</w:t>
      </w:r>
      <w:r w:rsidR="001767C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</w:t>
      </w:r>
      <w:r w:rsidR="001767CC">
        <w:rPr>
          <w:rFonts w:ascii="Times New Roman" w:eastAsia="方正仿宋_GBK" w:hAnsi="Times New Roman" w:cs="Times New Roman"/>
          <w:sz w:val="30"/>
          <w:szCs w:val="30"/>
          <w:lang w:eastAsia="zh-CN"/>
        </w:rPr>
        <w:t>年专项债</w:t>
      </w:r>
      <w:r w:rsidR="001767C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资金</w:t>
      </w:r>
      <w:r w:rsidR="001767C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1100</w:t>
      </w:r>
      <w:r w:rsidR="001767C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万元，</w:t>
      </w:r>
      <w:r w:rsidR="001767C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 w:rsidR="001767C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年专项债资金</w:t>
      </w:r>
      <w:r w:rsidR="001767C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2600</w:t>
      </w:r>
      <w:r w:rsidR="001767C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万元，共计</w:t>
      </w:r>
      <w:r w:rsidR="001767C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3700</w:t>
      </w:r>
      <w:r w:rsidR="001767C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万元。</w:t>
      </w:r>
    </w:p>
    <w:p w14:paraId="38F63FBF" w14:textId="384A144D" w:rsidR="00320E8F" w:rsidRDefault="00E916BE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color w:val="0000FF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1767CC">
        <w:rPr>
          <w:rFonts w:ascii="Times New Roman" w:eastAsia="方正仿宋_GBK" w:hAnsi="Times New Roman" w:cs="Times New Roman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1767CC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资金使用：专项债资金全部实行专账管理、专款专用，严格执行集团公司资金审批办法，按月度资金计划把控项目支出，确保专项</w:t>
      </w:r>
      <w:r w:rsidR="001767C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债</w:t>
      </w:r>
      <w:r w:rsidR="001767CC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资金能最大限度地发挥其作用，实现巨大的社会效益。</w:t>
      </w:r>
    </w:p>
    <w:p w14:paraId="33AB0A76" w14:textId="77777777" w:rsidR="00320E8F" w:rsidRDefault="001767CC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（二）绩效目标</w:t>
      </w:r>
    </w:p>
    <w:p w14:paraId="1A222604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）社会效益</w:t>
      </w:r>
    </w:p>
    <w:p w14:paraId="169E7BD2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属于城市基础设施建设项目，受益的是城市整体，对于消除环境污染、恢复自然生态环境、保护和挖掘历史文化遗产、整合城东地区旅游资源、改善市民生活环境、促进投资和经济发展、提升城市综合竞争力具有极大的促进作用，将大幅提升南京城市环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境在全国的地位和美誉度，使得南京城市形象和综合竞争力得到提高，其社会效益极其显著。</w:t>
      </w:r>
    </w:p>
    <w:p w14:paraId="4C497D0B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）环境效益</w:t>
      </w:r>
    </w:p>
    <w:p w14:paraId="23E543D0" w14:textId="3096D91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城东污水系统管网排查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专项整治第二批工程（运粮河东路等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条道路）完成后，可以降低污水管网水位，提升城东污水</w:t>
      </w:r>
      <w:r w:rsidR="007343E7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处理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厂进厂水质，同时减少漫溢现象发生，一定程度上提升水环境质量，改善市容市貌，营造清新怡人的生活环境，造福百姓，有利于增进市民身体健康，提高了人民的生活质量。</w:t>
      </w:r>
    </w:p>
    <w:p w14:paraId="4E3FD120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）经济效益</w:t>
      </w:r>
    </w:p>
    <w:p w14:paraId="3C15CBF8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尽管污水管网治理工程并不直接产生经济效益，但污水收集和处理是投资环境的重要内容，对于吸引投资具有重要影响。本项目完成后，地区水环境将得到明显改观，水环境污染问题逐步得到解决，有利于投资环境的改善，增加招商引资的吸引力。</w:t>
      </w:r>
    </w:p>
    <w:p w14:paraId="1ECE4009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二、评价情况</w:t>
      </w:r>
    </w:p>
    <w:p w14:paraId="68787E51" w14:textId="77777777" w:rsidR="00320E8F" w:rsidRDefault="001767CC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（一）项目特点分析</w:t>
      </w:r>
    </w:p>
    <w:p w14:paraId="3C751B1C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本次改造工程实施，旨在改善雨污混接，提高污水管网质量，减少外水入渗，提升污水处理厂进水浓度。同时为麒麟生态河水质稳定达标提供保障。</w:t>
      </w:r>
    </w:p>
    <w:p w14:paraId="79CDB28E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项目已完成污水管道改造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养护成本明显降低。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绩效评价主要集中为过程指标和产出指标，以评价项目资金管理、项目建设进度、安全生产等相关情况。</w:t>
      </w:r>
    </w:p>
    <w:p w14:paraId="5F611FC8" w14:textId="77777777" w:rsidR="00320E8F" w:rsidRDefault="001767CC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（二）评价思路方法</w:t>
      </w:r>
    </w:p>
    <w:p w14:paraId="59A8ED87" w14:textId="46C6E57C" w:rsidR="00320E8F" w:rsidRDefault="001767CC">
      <w:pPr>
        <w:widowControl/>
        <w:ind w:firstLineChars="200" w:firstLine="600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color w:val="FF0000"/>
          <w:sz w:val="30"/>
          <w:szCs w:val="30"/>
          <w:lang w:eastAsia="zh-CN"/>
        </w:rPr>
        <w:lastRenderedPageBreak/>
        <w:t>项目资金管理评价主要依据《财政部关于印发</w:t>
      </w:r>
      <w:r w:rsidR="003640C5" w:rsidRPr="003640C5">
        <w:rPr>
          <w:rFonts w:ascii="Times New Roman" w:eastAsia="方正仿宋_GBK" w:hAnsi="Times New Roman" w:cs="Times New Roman"/>
          <w:color w:val="FF0000"/>
          <w:sz w:val="30"/>
          <w:szCs w:val="30"/>
          <w:lang w:eastAsia="zh-CN"/>
        </w:rPr>
        <w:t>〈地方政府专项债券项目资金绩效管理办法〉</w:t>
      </w:r>
      <w:r>
        <w:rPr>
          <w:rFonts w:ascii="Times New Roman" w:eastAsia="方正仿宋_GBK" w:hAnsi="Times New Roman" w:cs="Times New Roman"/>
          <w:color w:val="FF0000"/>
          <w:sz w:val="30"/>
          <w:szCs w:val="30"/>
          <w:lang w:eastAsia="zh-CN"/>
        </w:rPr>
        <w:t>的通知》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等对专项债券资金的使用管理要求设置细化指标，进行管理、考核。</w:t>
      </w:r>
    </w:p>
    <w:p w14:paraId="39AE4877" w14:textId="77777777" w:rsidR="00320E8F" w:rsidRDefault="001767CC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（三）评价工作情况</w:t>
      </w:r>
    </w:p>
    <w:p w14:paraId="618545D2" w14:textId="4736A531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对照设置的考核指标和评分依据逐项进行跟踪评价，评判各项</w:t>
      </w:r>
      <w:r w:rsidR="00E916BE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指标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实际完成情况。专项债券的使用确保项目建设顺利进行，项目于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20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23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9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开工建设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月完工，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债券资金严格按照资金使用的相关管理要求执行，严格资金使用范围，保证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资金专款专用。</w:t>
      </w:r>
    </w:p>
    <w:p w14:paraId="4A2DE42C" w14:textId="77777777" w:rsidR="00320E8F" w:rsidRDefault="001767CC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 w:hint="eastAsia"/>
          <w:spacing w:val="-4"/>
          <w:sz w:val="30"/>
          <w:szCs w:val="30"/>
          <w:lang w:eastAsia="zh-CN"/>
        </w:rPr>
        <w:t>（四）</w:t>
      </w: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绩效评价结论</w:t>
      </w:r>
    </w:p>
    <w:p w14:paraId="0FD8682F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color w:val="FF0000"/>
          <w:sz w:val="30"/>
          <w:szCs w:val="30"/>
          <w:lang w:eastAsia="zh-CN"/>
        </w:rPr>
        <w:t>根据江苏省预算项目支出绩效指标体系</w:t>
      </w:r>
      <w:r>
        <w:rPr>
          <w:rFonts w:ascii="Times New Roman" w:eastAsia="方正仿宋_GBK" w:hAnsi="Times New Roman" w:cs="Times New Roman" w:hint="eastAsia"/>
          <w:color w:val="FF0000"/>
          <w:sz w:val="30"/>
          <w:szCs w:val="30"/>
          <w:lang w:eastAsia="zh-CN"/>
        </w:rPr>
        <w:t>、江苏省政府专项债项目绩效评价体系</w:t>
      </w:r>
      <w:r>
        <w:rPr>
          <w:rFonts w:ascii="Times New Roman" w:eastAsia="方正仿宋_GBK" w:hAnsi="Times New Roman" w:cs="Times New Roman"/>
          <w:color w:val="FF0000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城东污水系统管网排查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专项整治第二批工程（运粮河东路等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条道路）专项债券资金从过程、产出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、效益、满意度四个维度进行自评价，资金管理规范，项目进展顺利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项目正在建设中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，工程实施过程中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未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发生造成重大社会影响的质量安全事件，综合评分等级为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“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优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”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。</w:t>
      </w:r>
    </w:p>
    <w:p w14:paraId="62AD93AE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三、项目绩效</w:t>
      </w:r>
    </w:p>
    <w:p w14:paraId="2873CA0A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专项债券主要用于项目建设阶段工程费用的使用，项目于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9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月开工建设，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月完工。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该项目投产运行后，将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大大消除现状管道的安全隐患，保障管道的安全运行，提高污水收集率，解决系统内部分管道高水位运行等问题，从而提高城市排水和治污能力，降低城东污水处理厂运行负荷，改善南京市水体水环境。</w:t>
      </w:r>
    </w:p>
    <w:p w14:paraId="79672C52" w14:textId="77777777" w:rsidR="00320E8F" w:rsidRDefault="001767CC">
      <w:pPr>
        <w:numPr>
          <w:ilvl w:val="0"/>
          <w:numId w:val="2"/>
        </w:num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存在问题</w:t>
      </w:r>
    </w:p>
    <w:p w14:paraId="18BEA667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施工区域位于麒麟管委会片区，周边小区较多，施工过程中存在投诉情况；启迪大街、沧波门南街等为麒麟片区重要主干道，交通疏导压力大。</w:t>
      </w:r>
    </w:p>
    <w:p w14:paraId="78656478" w14:textId="77777777" w:rsidR="00320E8F" w:rsidRDefault="001767CC">
      <w:pPr>
        <w:numPr>
          <w:ilvl w:val="0"/>
          <w:numId w:val="2"/>
        </w:num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有关建议</w:t>
      </w:r>
    </w:p>
    <w:p w14:paraId="44EBF55C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临近居民区作业时，要合理调整作业时间，采用低噪音设备，提前跟物业沟通，尽量取得居民理解；根据交警部门批复的交通组织设计合理安排交通疏导人员，确保通行安全。</w:t>
      </w:r>
    </w:p>
    <w:p w14:paraId="256826C2" w14:textId="77777777" w:rsidR="00320E8F" w:rsidRDefault="00320E8F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仿宋_GBK" w:hAnsi="Times New Roman" w:cs="Times New Roman"/>
          <w:spacing w:val="-4"/>
          <w:sz w:val="30"/>
          <w:szCs w:val="30"/>
          <w:lang w:eastAsia="zh-CN"/>
        </w:rPr>
      </w:pPr>
    </w:p>
    <w:p w14:paraId="41144CDF" w14:textId="77777777" w:rsidR="00320E8F" w:rsidRDefault="00320E8F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</w:p>
    <w:p w14:paraId="38BFE7F6" w14:textId="77777777" w:rsidR="00320E8F" w:rsidRDefault="001767CC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附表：江苏省政府专项债券项目资金绩效年度自评价情况表</w:t>
      </w:r>
    </w:p>
    <w:p w14:paraId="79520652" w14:textId="77777777" w:rsidR="00320E8F" w:rsidRDefault="00320E8F">
      <w:pPr>
        <w:snapToGrid w:val="0"/>
        <w:spacing w:line="560" w:lineRule="exact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</w:p>
    <w:p w14:paraId="2A8ECD53" w14:textId="77777777" w:rsidR="00320E8F" w:rsidRDefault="00320E8F">
      <w:pPr>
        <w:rPr>
          <w:lang w:eastAsia="zh-CN"/>
        </w:rPr>
      </w:pPr>
    </w:p>
    <w:sectPr w:rsidR="00320E8F">
      <w:pgSz w:w="11910" w:h="16840"/>
      <w:pgMar w:top="2098" w:right="1474" w:bottom="1984" w:left="158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wiss"/>
    <w:pitch w:val="default"/>
    <w:sig w:usb0="00000001" w:usb1="080E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8D2F6A"/>
    <w:multiLevelType w:val="singleLevel"/>
    <w:tmpl w:val="A88D2F6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9C97F8D"/>
    <w:multiLevelType w:val="singleLevel"/>
    <w:tmpl w:val="B9C97F8D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99172506">
    <w:abstractNumId w:val="0"/>
  </w:num>
  <w:num w:numId="2" w16cid:durableId="740978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C6A5BB2"/>
    <w:rsid w:val="001256B3"/>
    <w:rsid w:val="001767CC"/>
    <w:rsid w:val="00247E37"/>
    <w:rsid w:val="00320E8F"/>
    <w:rsid w:val="00361A65"/>
    <w:rsid w:val="003640C5"/>
    <w:rsid w:val="007343E7"/>
    <w:rsid w:val="00833151"/>
    <w:rsid w:val="00887E04"/>
    <w:rsid w:val="00C507A2"/>
    <w:rsid w:val="00E51DCF"/>
    <w:rsid w:val="00E916BE"/>
    <w:rsid w:val="00FB144F"/>
    <w:rsid w:val="038A1793"/>
    <w:rsid w:val="07AA637F"/>
    <w:rsid w:val="08AB2010"/>
    <w:rsid w:val="09222038"/>
    <w:rsid w:val="0985669E"/>
    <w:rsid w:val="0A4D7372"/>
    <w:rsid w:val="0AA74DF8"/>
    <w:rsid w:val="0CA02447"/>
    <w:rsid w:val="0D505C1B"/>
    <w:rsid w:val="0D6276FC"/>
    <w:rsid w:val="0E3B0B42"/>
    <w:rsid w:val="0EE3426B"/>
    <w:rsid w:val="14D902A4"/>
    <w:rsid w:val="159F3334"/>
    <w:rsid w:val="19434886"/>
    <w:rsid w:val="1BAB17A1"/>
    <w:rsid w:val="1E0A6237"/>
    <w:rsid w:val="1E461AE5"/>
    <w:rsid w:val="21C66BF1"/>
    <w:rsid w:val="231A664D"/>
    <w:rsid w:val="29AE7AF9"/>
    <w:rsid w:val="31AA6DF8"/>
    <w:rsid w:val="31CF4AB1"/>
    <w:rsid w:val="37257F4C"/>
    <w:rsid w:val="3D45031D"/>
    <w:rsid w:val="406671AC"/>
    <w:rsid w:val="4C6A5BB2"/>
    <w:rsid w:val="4D471547"/>
    <w:rsid w:val="4E337F59"/>
    <w:rsid w:val="509B259A"/>
    <w:rsid w:val="56941CA1"/>
    <w:rsid w:val="56EB388B"/>
    <w:rsid w:val="5C084598"/>
    <w:rsid w:val="604C0EF7"/>
    <w:rsid w:val="62233AD9"/>
    <w:rsid w:val="6CED1CB3"/>
    <w:rsid w:val="6D785022"/>
    <w:rsid w:val="6E6715F2"/>
    <w:rsid w:val="6F467459"/>
    <w:rsid w:val="73BC23E0"/>
    <w:rsid w:val="792151BF"/>
    <w:rsid w:val="7B86755B"/>
    <w:rsid w:val="7DED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1E355D"/>
  <w15:docId w15:val="{CE103CFA-B9BE-4984-A6FF-F1A8A092B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uiPriority w:val="1"/>
    <w:qFormat/>
    <w:pPr>
      <w:spacing w:before="207"/>
      <w:ind w:left="120"/>
    </w:pPr>
    <w:rPr>
      <w:rFonts w:ascii="宋体" w:eastAsia="宋体" w:hAnsi="宋体"/>
      <w:sz w:val="30"/>
      <w:szCs w:val="30"/>
    </w:rPr>
  </w:style>
  <w:style w:type="paragraph" w:styleId="a4">
    <w:name w:val="Body Text Indent"/>
    <w:basedOn w:val="a"/>
    <w:next w:val="a"/>
    <w:qFormat/>
    <w:pPr>
      <w:snapToGrid w:val="0"/>
      <w:ind w:firstLine="564"/>
    </w:pPr>
    <w:rPr>
      <w:rFonts w:ascii="仿宋_GB2312" w:eastAsia="仿宋_GB231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雪婷 李</cp:lastModifiedBy>
  <cp:revision>10</cp:revision>
  <dcterms:created xsi:type="dcterms:W3CDTF">2025-04-21T01:18:00Z</dcterms:created>
  <dcterms:modified xsi:type="dcterms:W3CDTF">2026-06-26T03:00:00Z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4DBC6E9D96494E5A829ADC496109C1BB_11</vt:lpwstr>
  </property>
  <property fmtid="{D5CDD505-2E9C-101B-9397-08002B2CF9AE}" pid="4" name="KSOTemplateDocerSaveRecord">
    <vt:lpwstr>eyJoZGlkIjoiZmJiN2I2NzgyMzI0MWUzNmY5OGUwZDNjODc2NTRjMmEiLCJ1c2VySWQiOiIyNDM5MDcwNTAifQ==</vt:lpwstr>
  </property>
</Properties>
</file>